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8F" w:rsidRDefault="00154D8F" w:rsidP="00154D8F">
      <w:pPr>
        <w:pStyle w:val="ConsPlusNormal"/>
        <w:jc w:val="center"/>
        <w:outlineLvl w:val="2"/>
      </w:pPr>
      <w:r>
        <w:t>Паспорт</w:t>
      </w:r>
    </w:p>
    <w:p w:rsidR="00154D8F" w:rsidRDefault="00154D8F" w:rsidP="00154D8F">
      <w:pPr>
        <w:pStyle w:val="ConsPlusNormal"/>
        <w:jc w:val="center"/>
      </w:pPr>
      <w:bookmarkStart w:id="0" w:name="_GoBack"/>
      <w:bookmarkEnd w:id="0"/>
      <w:r>
        <w:t>подпрограммы "Молодежь Ленинградской области"</w:t>
      </w: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22.12.2014 N 614)</w:t>
      </w:r>
    </w:p>
    <w:p w:rsidR="00154D8F" w:rsidRDefault="00154D8F" w:rsidP="00154D8F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7200"/>
      </w:tblGrid>
      <w:tr w:rsidR="00154D8F" w:rsidTr="008D1A9E">
        <w:tc>
          <w:tcPr>
            <w:tcW w:w="2438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7200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>Подпрограмма "Молодежь Ленинградской области"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top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Ленинградской области от 22.12.2014 N 614)</w:t>
            </w:r>
          </w:p>
        </w:tc>
      </w:tr>
      <w:tr w:rsidR="00154D8F" w:rsidTr="008D1A9E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154D8F" w:rsidRDefault="00154D8F" w:rsidP="008D1A9E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7200" w:type="dxa"/>
          </w:tcPr>
          <w:p w:rsidR="00154D8F" w:rsidRDefault="00154D8F" w:rsidP="008D1A9E">
            <w:pPr>
              <w:pStyle w:val="ConsPlusNormal"/>
              <w:jc w:val="both"/>
            </w:pPr>
            <w:r>
              <w:t>Комитет по молодежной политике Ленинградской области</w:t>
            </w:r>
          </w:p>
        </w:tc>
      </w:tr>
      <w:tr w:rsidR="00154D8F" w:rsidTr="008D1A9E">
        <w:tc>
          <w:tcPr>
            <w:tcW w:w="2438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7200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>Комитет по строительству Ленинградской области;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Комитет общего и профессионального образования Ленинградской области;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Государственное бюджетное учреждение Ленинградской области "Центр досуговых, оздоровительных и учебных программ "Молодежный"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top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(в ред. </w:t>
            </w: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Ленинградской области от 25.12.2015 N 506)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Ленинградской области от 25.12.2015 N 506</w:t>
            </w:r>
          </w:p>
        </w:tc>
      </w:tr>
      <w:tr w:rsidR="00154D8F" w:rsidTr="008D1A9E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:rsidR="00154D8F" w:rsidRDefault="00154D8F" w:rsidP="008D1A9E">
            <w:pPr>
              <w:pStyle w:val="ConsPlusNormal"/>
            </w:pPr>
            <w:r>
              <w:t>Цели подпрограммы</w:t>
            </w:r>
          </w:p>
        </w:tc>
        <w:tc>
          <w:tcPr>
            <w:tcW w:w="7200" w:type="dxa"/>
          </w:tcPr>
          <w:p w:rsidR="00154D8F" w:rsidRDefault="00154D8F" w:rsidP="008D1A9E">
            <w:pPr>
              <w:pStyle w:val="ConsPlusNormal"/>
              <w:jc w:val="both"/>
            </w:pPr>
            <w:r>
              <w:t>Развитие потенциала молодежи в интересах общества и государства</w:t>
            </w:r>
          </w:p>
        </w:tc>
      </w:tr>
      <w:tr w:rsidR="00154D8F" w:rsidTr="008D1A9E">
        <w:tc>
          <w:tcPr>
            <w:tcW w:w="2438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7200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>Создание условий для вовлечения молодежи в социальную практику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Поддержка молодежных инициатив и проектов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Развитие инфраструктуры молодежной политики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top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Ленинградской области от 25.12.2015 N 506)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10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Ленинградской области от 25.12.2015 N 506</w:t>
            </w:r>
          </w:p>
        </w:tc>
      </w:tr>
      <w:tr w:rsidR="00154D8F" w:rsidTr="008D1A9E">
        <w:tc>
          <w:tcPr>
            <w:tcW w:w="2438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7200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>Сроки реализации подпрограммы: 2014-2020 годы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top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Ленинградской области от 22.12.2014 N 614)</w:t>
            </w:r>
          </w:p>
        </w:tc>
      </w:tr>
      <w:tr w:rsidR="00154D8F" w:rsidTr="008D1A9E">
        <w:tc>
          <w:tcPr>
            <w:tcW w:w="2438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</w:pPr>
            <w:r>
              <w:t>Финансовое обеспечение подпрограммы - всего, в том числе по источникам финансирования</w:t>
            </w:r>
          </w:p>
        </w:tc>
        <w:tc>
          <w:tcPr>
            <w:tcW w:w="7200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>Финансовое обеспечение подпрограммы составляет 438861,30 тыс. руб. (средства областного бюджета), в том числе: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2014 год - 119410,10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2015 год - 57118,00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2016 год - 48814,90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2017 год - 50582,80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2018 год - 54115,50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2019 год - 53270,00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2020 год - 55550,00 тыс. руб.;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средства местных бюджетов - 3213,00 тыс. руб., в том числе: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2016 год - 608,00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2017 год - 615,00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2018 год - 635,00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2019 год - 665,00 тыс. руб.,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2020 год - 690,00 тыс. руб.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top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(в ред. Постановлений Правительства Ленинградской области от 23.06.2015 </w:t>
            </w:r>
            <w:hyperlink r:id="rId12" w:history="1">
              <w:r>
                <w:rPr>
                  <w:color w:val="0000FF"/>
                </w:rPr>
                <w:t>N 227</w:t>
              </w:r>
            </w:hyperlink>
            <w:r>
              <w:t xml:space="preserve">, от 25.12.2015 </w:t>
            </w:r>
            <w:hyperlink r:id="rId13" w:history="1">
              <w:r>
                <w:rPr>
                  <w:color w:val="0000FF"/>
                </w:rPr>
                <w:t>N 506</w:t>
              </w:r>
            </w:hyperlink>
            <w:r>
              <w:t>)</w:t>
            </w:r>
          </w:p>
        </w:tc>
      </w:tr>
      <w:tr w:rsidR="00154D8F" w:rsidTr="008D1A9E">
        <w:tc>
          <w:tcPr>
            <w:tcW w:w="2438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7200" w:type="dxa"/>
            <w:tcBorders>
              <w:bottom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>Увеличение к 2020 году количества молодежных мероприятий более чем на 50% по отношению к значению 2013 года;</w:t>
            </w:r>
          </w:p>
          <w:p w:rsidR="00154D8F" w:rsidRDefault="00154D8F" w:rsidP="008D1A9E">
            <w:pPr>
              <w:pStyle w:val="ConsPlusNormal"/>
              <w:jc w:val="both"/>
            </w:pPr>
            <w:r>
              <w:t>- создание многофункциональной инфраструктуры регионального учреждения молодежной политики ГБУ ЛО "Центр досуговых, оздоровительных и учебных программ "Молодежный"</w:t>
            </w:r>
          </w:p>
        </w:tc>
      </w:tr>
      <w:tr w:rsidR="00154D8F" w:rsidTr="008D1A9E">
        <w:tc>
          <w:tcPr>
            <w:tcW w:w="9638" w:type="dxa"/>
            <w:gridSpan w:val="2"/>
            <w:tcBorders>
              <w:top w:val="nil"/>
            </w:tcBorders>
          </w:tcPr>
          <w:p w:rsidR="00154D8F" w:rsidRDefault="00154D8F" w:rsidP="008D1A9E">
            <w:pPr>
              <w:pStyle w:val="ConsPlusNormal"/>
              <w:jc w:val="both"/>
            </w:pPr>
            <w:r>
              <w:t xml:space="preserve">(в ред.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Ленинградской области от 22.12.2014 N 614)</w:t>
            </w:r>
          </w:p>
        </w:tc>
      </w:tr>
    </w:tbl>
    <w:p w:rsidR="00154D8F" w:rsidRDefault="00154D8F" w:rsidP="00154D8F">
      <w:pPr>
        <w:sectPr w:rsidR="00154D8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>1. Общая характеристика, основные проблемы и прогноз</w:t>
      </w:r>
    </w:p>
    <w:p w:rsidR="00154D8F" w:rsidRDefault="00154D8F" w:rsidP="00154D8F">
      <w:pPr>
        <w:pStyle w:val="ConsPlusNormal"/>
        <w:jc w:val="center"/>
      </w:pPr>
      <w:r>
        <w:t>развития сферы реализации подпрограммы "Молодежь</w:t>
      </w:r>
    </w:p>
    <w:p w:rsidR="00154D8F" w:rsidRDefault="00154D8F" w:rsidP="00154D8F">
      <w:pPr>
        <w:pStyle w:val="ConsPlusNormal"/>
        <w:jc w:val="center"/>
      </w:pPr>
      <w:r>
        <w:t>Ленинградской области"</w:t>
      </w: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22.12.2014 N 614)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>В подпрограмме "Молодежь Ленинградской области" государственной программы Ленинградской области "Устойчивое общественное развитие в Ленинградской области" определены основные направления государственной молодежной политики в части развития потенциала молодежи и молодой семьи.</w:t>
      </w:r>
    </w:p>
    <w:p w:rsidR="00154D8F" w:rsidRDefault="00154D8F" w:rsidP="00154D8F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22.12.2014 N 614)</w:t>
      </w:r>
    </w:p>
    <w:p w:rsidR="00154D8F" w:rsidRDefault="00154D8F" w:rsidP="00154D8F">
      <w:pPr>
        <w:pStyle w:val="ConsPlusNormal"/>
        <w:ind w:firstLine="540"/>
        <w:jc w:val="both"/>
      </w:pPr>
      <w:r>
        <w:t>Основной целью Подпрограммы является развитие потенциала молодежи в интересах общества и государства на период до 2020 года на основании опыта реализации долгосрочных целевых программ Ленинградской области в сфере работы с молодежью.</w:t>
      </w:r>
    </w:p>
    <w:p w:rsidR="00154D8F" w:rsidRDefault="00154D8F" w:rsidP="00154D8F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22.12.2014 N 614)</w:t>
      </w:r>
    </w:p>
    <w:p w:rsidR="00154D8F" w:rsidRDefault="00154D8F" w:rsidP="00154D8F">
      <w:pPr>
        <w:pStyle w:val="ConsPlusNormal"/>
        <w:ind w:firstLine="540"/>
        <w:jc w:val="both"/>
      </w:pPr>
      <w:r>
        <w:t>Современная молодежь Ленинградской области является полноправным субъектом молодежной политики, основным партнером власти всех уровней в выработке и реализации молодежной политики, ориентированной на максимальное вовлечение молодежи в социальную практику, создание условий и возможностей для самостоятельного решения молодежным сообществом собственных проблем и полноценное участие в жизни общества.</w:t>
      </w: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Несмотря на позитивные изменения в работе с молодежью продолжает оставаться ряд проблем, отрицательно влияющих на развитие инновационного потенциала молодежи: недостаток социальной ответственности среди отдельных слоев молодежи, отсутствие систематизации работы с талантливой молодежью, недостаточность инфраструктурного обеспечения молодежной политики, включая кадровое обеспечение и уровень подготовки кадров, отсутствие достоверной статистической информации, позволяющей объективно оценивать проблемы в молодежной среде и находить возможные варианты их</w:t>
      </w:r>
      <w:proofErr w:type="gramEnd"/>
      <w:r>
        <w:t xml:space="preserve"> решения.</w:t>
      </w:r>
    </w:p>
    <w:p w:rsidR="00154D8F" w:rsidRDefault="00154D8F" w:rsidP="00154D8F">
      <w:pPr>
        <w:pStyle w:val="ConsPlusNormal"/>
        <w:ind w:firstLine="540"/>
        <w:jc w:val="both"/>
      </w:pPr>
      <w:r>
        <w:t>Реализация мероприятий подпрограммы позволит обеспечить формирование качественно нового подхода к развитию сферы молодежной политики в Ленинградской области путем перехода на проектную деятельность. Позволит увеличить вклад молодежи в социально-экономическое развитие Ленинградской области.</w:t>
      </w:r>
    </w:p>
    <w:p w:rsidR="00154D8F" w:rsidRDefault="00154D8F" w:rsidP="00154D8F">
      <w:pPr>
        <w:pStyle w:val="ConsPlusNormal"/>
        <w:ind w:firstLine="540"/>
        <w:jc w:val="both"/>
      </w:pPr>
      <w:r>
        <w:t>В Ленинградской области молодежная политика реализуется комитетом по молодежной политике Ленинградской области и органами по делам молодежи, входящими в состав администраций муниципальных образований, при участии молодежных и детских общественных объединений, неправительственных организаций, иных юридических и физических лиц.</w:t>
      </w: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 xml:space="preserve">Правовое регулирование в сфере молодежной политики осуществляется в соответствии с областным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16 июня 1999 года N 37-оз "О государственной поддержке молодежных и детских общественных объединений, общественных объединений, реализующих молодежную политику на территории Ленинградской области" и областным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13 декабря 2011 года N 105-оз "О государственной молодежной политике в Ленинградской области".</w:t>
      </w:r>
      <w:proofErr w:type="gramEnd"/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>2. Приоритет государственной политики в сфере реализации</w:t>
      </w:r>
    </w:p>
    <w:p w:rsidR="00154D8F" w:rsidRDefault="00154D8F" w:rsidP="00154D8F">
      <w:pPr>
        <w:pStyle w:val="ConsPlusNormal"/>
        <w:jc w:val="center"/>
      </w:pPr>
      <w:r>
        <w:t>Подпрограммы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 xml:space="preserve">Создание благоприятных условий для жизни и занятости молодежи на территории Ленинградской области относится к приоритетам государственной политики в сфере реализации Подпрограммы. Данные приоритеты определены в </w:t>
      </w:r>
      <w:hyperlink r:id="rId20" w:history="1">
        <w:r>
          <w:rPr>
            <w:color w:val="0000FF"/>
          </w:rPr>
          <w:t>Концепции</w:t>
        </w:r>
      </w:hyperlink>
      <w:r>
        <w:t xml:space="preserve"> социально-экономического развития Ленинградской области до 2025 года (Областной закон Ленинградской области от 28.06.2013 N 45-оз). Комплекс мероприятий подпрограммы включает работу по таким направлениям, как содействие соблюдению и защите прав и свобод молодых граждан; поддержка деятельности молодежных общественных объединений, а также молодежных инициатив; реализация творческого потенциала молодежи; поддержка молодых семей; содействие трудовой адаптации и занятости молодежи. Данные направления определены в </w:t>
      </w:r>
      <w:r>
        <w:lastRenderedPageBreak/>
        <w:t xml:space="preserve">соответствии со </w:t>
      </w:r>
      <w:hyperlink r:id="rId21" w:history="1">
        <w:r>
          <w:rPr>
            <w:color w:val="0000FF"/>
          </w:rPr>
          <w:t>статьей 6</w:t>
        </w:r>
      </w:hyperlink>
      <w:r>
        <w:t xml:space="preserve"> областного закона от 13 декабря 2011 года N 105-оз "О государственной молодежной политике в Ленинградской области", определены основные направления реализации государственной молодежной политики.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>3. Цели, задачи, результаты, сроки и этапы реализации</w:t>
      </w:r>
    </w:p>
    <w:p w:rsidR="00154D8F" w:rsidRDefault="00154D8F" w:rsidP="00154D8F">
      <w:pPr>
        <w:pStyle w:val="ConsPlusNormal"/>
        <w:jc w:val="center"/>
      </w:pPr>
      <w:r>
        <w:t>подпрограммы</w:t>
      </w: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25.12.2015 N 506)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22.12.2014 N 614)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>Основной целью подпрограммы является развитие потенциала молодежи в интересах общества и государства на период до 2020 года.</w:t>
      </w:r>
    </w:p>
    <w:p w:rsidR="00154D8F" w:rsidRDefault="00154D8F" w:rsidP="00154D8F">
      <w:pPr>
        <w:pStyle w:val="ConsPlusNormal"/>
        <w:ind w:firstLine="540"/>
        <w:jc w:val="both"/>
      </w:pPr>
      <w:r>
        <w:t>Основными задачами подпрограммы являются:</w:t>
      </w:r>
    </w:p>
    <w:p w:rsidR="00154D8F" w:rsidRDefault="00154D8F" w:rsidP="00154D8F">
      <w:pPr>
        <w:pStyle w:val="ConsPlusNormal"/>
        <w:ind w:firstLine="540"/>
        <w:jc w:val="both"/>
      </w:pPr>
      <w:r>
        <w:t>создание условий для вовлечения молодежи в социальную практику;</w:t>
      </w:r>
    </w:p>
    <w:p w:rsidR="00154D8F" w:rsidRDefault="00154D8F" w:rsidP="00154D8F">
      <w:pPr>
        <w:pStyle w:val="ConsPlusNormal"/>
        <w:ind w:firstLine="540"/>
        <w:jc w:val="both"/>
      </w:pPr>
      <w:r>
        <w:t>поддержка молодежных инициатив и проектов;</w:t>
      </w:r>
    </w:p>
    <w:p w:rsidR="00154D8F" w:rsidRDefault="00154D8F" w:rsidP="00154D8F">
      <w:pPr>
        <w:pStyle w:val="ConsPlusNormal"/>
        <w:ind w:firstLine="540"/>
        <w:jc w:val="both"/>
      </w:pPr>
      <w:r>
        <w:t>развитие инфраструктуры молодежной политики.</w:t>
      </w:r>
    </w:p>
    <w:p w:rsidR="00154D8F" w:rsidRDefault="00154D8F" w:rsidP="00154D8F">
      <w:pPr>
        <w:pStyle w:val="ConsPlusNormal"/>
        <w:ind w:firstLine="540"/>
        <w:jc w:val="both"/>
      </w:pPr>
      <w:r>
        <w:t>Подпрограмма реализуется в один этап (2014-2020 годы), совпадающий с периодом бюджетного планирования.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  <w:outlineLvl w:val="2"/>
      </w:pPr>
      <w:r>
        <w:t>4. Расшифровка плановых значений показателей (индикаторов)</w:t>
      </w:r>
    </w:p>
    <w:p w:rsidR="00154D8F" w:rsidRDefault="00154D8F" w:rsidP="00154D8F">
      <w:pPr>
        <w:pStyle w:val="ConsPlusNormal"/>
        <w:jc w:val="center"/>
      </w:pPr>
      <w:r>
        <w:t>государственной программы по годам реализации, а также</w:t>
      </w:r>
    </w:p>
    <w:p w:rsidR="00154D8F" w:rsidRDefault="00154D8F" w:rsidP="00154D8F">
      <w:pPr>
        <w:pStyle w:val="ConsPlusNormal"/>
        <w:jc w:val="center"/>
      </w:pPr>
      <w:r>
        <w:t>сведения о взаимосвязи с мероприятиями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22.12.2014 N 614)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>Плановыми значениями подпрограммы являются:</w:t>
      </w:r>
    </w:p>
    <w:p w:rsidR="00154D8F" w:rsidRDefault="00154D8F" w:rsidP="00154D8F">
      <w:pPr>
        <w:pStyle w:val="ConsPlusNormal"/>
        <w:ind w:firstLine="540"/>
        <w:jc w:val="both"/>
      </w:pPr>
      <w:r>
        <w:t>- количество молодежных форумов и массовых молодежных мероприятий: 2014 год - 10 ед.;</w:t>
      </w: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поддержанных проектов молодежных общественных организаций и объединений, молодежных инициатив: 2014 год - 20 ед., 2015 год - 4 ед., 2016 год - 4 ед., 2017 год - 4 ед., 2018 год - 4 ед., 2019 год - 4 ед., 2020 год - 4 ед.;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мероприятий по поддержке деятельности молодежных общественных организаций и объединений: 2015 год - 3 ед., 2016 год - 3 ед., 2017 год - 3 ед., 2018 год - 3 ед., 2019 год - 3 ед., 2020 год - 3 ед.;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участников мероприятий по поддержке деятельности молодежных общественных организаций и объединений: 2015 год - 300 чел., 2016 год - 300 чел., 2017 год - 300 чел., 2018 год - 300 чел., 2019 год - 300 чел., 2020 год - 300 чел.;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участников мероприятий по содействию трудовой адаптации и занятости молодежи: 2014 год - 750 чел., 2015 год - 800 чел., 2016 год - 800 чел., 2017 год - 800 чел., 2018 год - 800 чел., 2019 год - 800 чел., 2020 год - 800 чел.;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мероприятий по содействию трудовой адаптации и занятости молодежи: 2015 год - 2 ед., 2016 год - 2 ед., 2017 год - 2 ед., 2018 год - 2 ед., 2019 год - 2 ед., 2020 год - 2 ед.;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участников мероприятий по поддержке молодых семей и пропаганде семейных ценностей: 2014 год - 12500 чел., 2015 год - 1000 чел., 2016 год - 1000 чел., 2017 год - 1000 чел., 2018 год - 1000 чел., 2019 год - 1000 чел., 2020 год - 1000 чел.;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конкурсов молодых семей: 2015 год - 2 ед., 2016 год - 2 ед., 2017 год - 2 ед., 2018 год - 2 ед., 2019 год - 2 ед., 2020 год - 2 ед.;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r>
        <w:t>- количество поддержанных проектов по поддержке молодых семей и пропаганде семейных ценностей: 2014 год - 10 ед.;</w:t>
      </w:r>
    </w:p>
    <w:p w:rsidR="00154D8F" w:rsidRDefault="00154D8F" w:rsidP="00154D8F">
      <w:pPr>
        <w:pStyle w:val="ConsPlusNormal"/>
        <w:ind w:firstLine="540"/>
        <w:jc w:val="both"/>
      </w:pPr>
      <w:r>
        <w:t>- количество участников мероприятий по информационному, научно-методическому, нормативно-правовому и кадровому обеспечению молодежной политики: 2014 год - 20080 чел.;</w:t>
      </w:r>
    </w:p>
    <w:p w:rsidR="00154D8F" w:rsidRDefault="00154D8F" w:rsidP="00154D8F">
      <w:pPr>
        <w:pStyle w:val="ConsPlusNormal"/>
        <w:ind w:firstLine="540"/>
        <w:jc w:val="both"/>
      </w:pPr>
      <w:r>
        <w:t xml:space="preserve">- количество участников мероприятий по созданию условий и возможностей для успешной </w:t>
      </w:r>
      <w:r>
        <w:lastRenderedPageBreak/>
        <w:t>социализации и самореализации молодежи: 2014 год - 800 чел.;</w:t>
      </w:r>
    </w:p>
    <w:p w:rsidR="00154D8F" w:rsidRDefault="00154D8F" w:rsidP="00154D8F">
      <w:pPr>
        <w:pStyle w:val="ConsPlusNormal"/>
        <w:ind w:firstLine="540"/>
        <w:jc w:val="both"/>
      </w:pPr>
      <w:r>
        <w:t>- количество слетов в рамках создания условий и возможностей для успешной социализации и самореализации молодежи: 2015 год - 6 ед., 2016 год - 6 ед., 2017 год - 6 ед., 2018 год - 6 ед., 2019 год - 6 ед., 2020 год - 2 ед.;</w:t>
      </w: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получателей премии Губернатора Ленинградской области по поддержке талантливой молодежи: 2014 год - 6 чел., 2015 год - 6 чел., 2016 год - 6 чел., 2017 год - 6 чел., 2018 год - 6 чел., 2019 год - 6 чел., 2020 год - 6 чел.;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участников мероприятий по поддержке творческой и талантливой молодежи: 2015 год - 200 чел., 2016 год - 200 чел., 2017 год - 200 чел., 2018 год - 200 чел., 2019 год - 200 чел., 2020 год - 200 чел.;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мероприятий по поддержке творческой и талантливой молодежи: 2015 год - 1 ед., 2016 год - 1 ед., 2017 год - 1 ед., 2018 год - 1 ед., 2019 год - 1 ед., 2020 год - 1 ед.;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r>
        <w:t>- количество вновь возведенных региональных объектов молодежной политики: 2014 год - 1 объект;</w:t>
      </w: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молодежных форумов, молодежных мероприятий, мероприятий по методическому сопровождению молодежной политики: 2015 год - 10 ед., 2016 год - 10 ед., 2017 год - 10 ед., 2018 год - 10 ед., 2019 год - 10 ед., 2020 год - 10 ед.;</w:t>
      </w:r>
      <w:proofErr w:type="gramEnd"/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- количество человек, охваченных мероприятиями в рамках организации и проведения молодежных форумов, молодежных мероприятий, мероприятий по методическому сопровождению молодежной политики: 2015 год - 350 чел., 2016 год - 350 чел., 2017 год - 350 чел., 2018 год - 350 чел., 2019 год - 350 чел., 2020 год - 350 чел.</w:t>
      </w:r>
      <w:proofErr w:type="gramEnd"/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  <w:outlineLvl w:val="2"/>
      </w:pPr>
      <w:r>
        <w:t>5. Характеристика основных мероприятий подпрограммы</w:t>
      </w:r>
    </w:p>
    <w:p w:rsidR="00154D8F" w:rsidRDefault="00154D8F" w:rsidP="00154D8F">
      <w:pPr>
        <w:pStyle w:val="ConsPlusNormal"/>
        <w:jc w:val="center"/>
      </w:pPr>
      <w:r>
        <w:t>с указанием сроков их реализации и ожидаемых результатов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25.12.2015 N 506)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 xml:space="preserve">Перечень основных мероприятий подпрограммы с указанием сроков их реализации и взаимосвязи с показателями приведен в </w:t>
      </w:r>
      <w:hyperlink w:anchor="P3095" w:history="1">
        <w:r>
          <w:rPr>
            <w:color w:val="0000FF"/>
          </w:rPr>
          <w:t>приложениях 1</w:t>
        </w:r>
      </w:hyperlink>
      <w:r>
        <w:t xml:space="preserve"> и </w:t>
      </w:r>
      <w:hyperlink w:anchor="P3729" w:history="1">
        <w:r>
          <w:rPr>
            <w:color w:val="0000FF"/>
          </w:rPr>
          <w:t>2</w:t>
        </w:r>
      </w:hyperlink>
      <w:r>
        <w:t xml:space="preserve"> к государственной программе.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 xml:space="preserve">6. Сравнительный анализ </w:t>
      </w:r>
      <w:proofErr w:type="gramStart"/>
      <w:r>
        <w:t>социально-экономической</w:t>
      </w:r>
      <w:proofErr w:type="gramEnd"/>
    </w:p>
    <w:p w:rsidR="00154D8F" w:rsidRDefault="00154D8F" w:rsidP="00154D8F">
      <w:pPr>
        <w:pStyle w:val="ConsPlusNormal"/>
        <w:jc w:val="center"/>
      </w:pPr>
      <w:r>
        <w:t>эффективности альтернативных способов достижения целей</w:t>
      </w:r>
    </w:p>
    <w:p w:rsidR="00154D8F" w:rsidRDefault="00154D8F" w:rsidP="00154D8F">
      <w:pPr>
        <w:pStyle w:val="ConsPlusNormal"/>
        <w:jc w:val="center"/>
      </w:pPr>
      <w:proofErr w:type="gramStart"/>
      <w:r>
        <w:t>и решения задач Подпрограммы (рекомендуется использование</w:t>
      </w:r>
      <w:proofErr w:type="gramEnd"/>
    </w:p>
    <w:p w:rsidR="00154D8F" w:rsidRDefault="00154D8F" w:rsidP="00154D8F">
      <w:pPr>
        <w:pStyle w:val="ConsPlusNormal"/>
        <w:jc w:val="center"/>
      </w:pPr>
      <w:r>
        <w:t xml:space="preserve">методологии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Value</w:t>
      </w:r>
      <w:proofErr w:type="spellEnd"/>
      <w:r>
        <w:t>)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r>
        <w:t xml:space="preserve">Исключен. - </w:t>
      </w:r>
      <w:hyperlink r:id="rId26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</w:t>
      </w:r>
    </w:p>
    <w:p w:rsidR="00154D8F" w:rsidRDefault="00154D8F" w:rsidP="00154D8F">
      <w:pPr>
        <w:pStyle w:val="ConsPlusNormal"/>
        <w:jc w:val="center"/>
      </w:pPr>
      <w:r>
        <w:t>области от 25.12.2015 N 506.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>7. Характеристика основных мер правового регулирования</w:t>
      </w:r>
    </w:p>
    <w:p w:rsidR="00154D8F" w:rsidRDefault="00154D8F" w:rsidP="00154D8F">
      <w:pPr>
        <w:pStyle w:val="ConsPlusNormal"/>
        <w:jc w:val="center"/>
      </w:pPr>
      <w:r>
        <w:t xml:space="preserve">в сфере реализации подпрограммы с обоснованием </w:t>
      </w:r>
      <w:proofErr w:type="gramStart"/>
      <w:r>
        <w:t>основных</w:t>
      </w:r>
      <w:proofErr w:type="gramEnd"/>
    </w:p>
    <w:p w:rsidR="00154D8F" w:rsidRDefault="00154D8F" w:rsidP="00154D8F">
      <w:pPr>
        <w:pStyle w:val="ConsPlusNormal"/>
        <w:jc w:val="center"/>
      </w:pPr>
      <w:r>
        <w:t>положений и сроков принятия необходимых нормативных</w:t>
      </w:r>
    </w:p>
    <w:p w:rsidR="00154D8F" w:rsidRDefault="00154D8F" w:rsidP="00154D8F">
      <w:pPr>
        <w:pStyle w:val="ConsPlusNormal"/>
        <w:jc w:val="center"/>
      </w:pPr>
      <w:r>
        <w:t>правовых актов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r>
        <w:t xml:space="preserve">Исключен.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</w:t>
      </w:r>
    </w:p>
    <w:p w:rsidR="00154D8F" w:rsidRDefault="00154D8F" w:rsidP="00154D8F">
      <w:pPr>
        <w:pStyle w:val="ConsPlusNormal"/>
        <w:jc w:val="center"/>
      </w:pPr>
      <w:r>
        <w:t>области от 25.12.2015 N 506.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54D8F" w:rsidRDefault="00154D8F" w:rsidP="00154D8F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154D8F" w:rsidRDefault="00154D8F" w:rsidP="00154D8F">
      <w:pPr>
        <w:pStyle w:val="ConsPlusNormal"/>
        <w:ind w:firstLine="540"/>
        <w:jc w:val="both"/>
      </w:pPr>
      <w:r>
        <w:rPr>
          <w:color w:val="0A2666"/>
        </w:rPr>
        <w:t xml:space="preserve">Нумерация разделов дана в соответствии с изменениями, внесенными </w:t>
      </w:r>
      <w:hyperlink r:id="rId28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Ленинградской области от 25.12.2015 N 506.</w:t>
      </w:r>
    </w:p>
    <w:p w:rsidR="00154D8F" w:rsidRDefault="00154D8F" w:rsidP="00154D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54D8F" w:rsidRDefault="00154D8F" w:rsidP="00154D8F">
      <w:pPr>
        <w:pStyle w:val="ConsPlusNormal"/>
        <w:jc w:val="center"/>
        <w:outlineLvl w:val="2"/>
      </w:pPr>
      <w:hyperlink r:id="rId29" w:history="1">
        <w:r>
          <w:rPr>
            <w:color w:val="0000FF"/>
          </w:rPr>
          <w:t>4</w:t>
        </w:r>
      </w:hyperlink>
      <w:r>
        <w:t>. Информация об участии муниципальных образований</w:t>
      </w:r>
    </w:p>
    <w:p w:rsidR="00154D8F" w:rsidRDefault="00154D8F" w:rsidP="00154D8F">
      <w:pPr>
        <w:pStyle w:val="ConsPlusNormal"/>
        <w:jc w:val="center"/>
      </w:pPr>
      <w:r>
        <w:t>Ленинградской области в реализации подпрограммы</w:t>
      </w:r>
    </w:p>
    <w:p w:rsidR="00154D8F" w:rsidRDefault="00154D8F" w:rsidP="00154D8F">
      <w:pPr>
        <w:pStyle w:val="ConsPlusNormal"/>
        <w:jc w:val="center"/>
      </w:pPr>
      <w:proofErr w:type="gramStart"/>
      <w:r>
        <w:lastRenderedPageBreak/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25.12.2015 N 506)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22.12.2014 N 614)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>Муниципальные образования принимают участие в реализации следующих мероприятий:</w:t>
      </w:r>
    </w:p>
    <w:p w:rsidR="00154D8F" w:rsidRDefault="00154D8F" w:rsidP="00154D8F">
      <w:pPr>
        <w:pStyle w:val="ConsPlusNormal"/>
        <w:ind w:firstLine="540"/>
        <w:jc w:val="both"/>
      </w:pPr>
      <w:r>
        <w:t>1) основное мероприятие 6.2 "Реализация комплекса мер по поддержке деятельности молодежных общественных организаций, объединений, инициатив и развитию добровольческого (волонтерского) движения".</w:t>
      </w:r>
    </w:p>
    <w:p w:rsidR="00154D8F" w:rsidRDefault="00154D8F" w:rsidP="00154D8F">
      <w:pPr>
        <w:pStyle w:val="ConsPlusNormal"/>
        <w:ind w:firstLine="540"/>
        <w:jc w:val="both"/>
      </w:pPr>
      <w:r>
        <w:t xml:space="preserve">В </w:t>
      </w:r>
      <w:proofErr w:type="gramStart"/>
      <w:r>
        <w:t>рамках</w:t>
      </w:r>
      <w:proofErr w:type="gramEnd"/>
      <w:r>
        <w:t xml:space="preserve"> мероприятия Выборгский район и </w:t>
      </w:r>
      <w:proofErr w:type="spellStart"/>
      <w:r>
        <w:t>Сосновоборский</w:t>
      </w:r>
      <w:proofErr w:type="spellEnd"/>
      <w:r>
        <w:t xml:space="preserve"> городской округ примут участие в реализации проектов по поддержке КВН-движения в Ленинградской области, Гатчинский муниципальный район - в проведении конкурса "Доброволец Ленинградской области";</w:t>
      </w:r>
    </w:p>
    <w:p w:rsidR="00154D8F" w:rsidRDefault="00154D8F" w:rsidP="00154D8F">
      <w:pPr>
        <w:pStyle w:val="ConsPlusNormal"/>
        <w:ind w:firstLine="540"/>
        <w:jc w:val="both"/>
      </w:pPr>
      <w:r>
        <w:t>2) основное мероприятие 6.3 "Реализация комплекса мер по содействию трудовой адаптации и занятости молодежи".</w:t>
      </w:r>
    </w:p>
    <w:p w:rsidR="00154D8F" w:rsidRDefault="00154D8F" w:rsidP="00154D8F">
      <w:pPr>
        <w:pStyle w:val="ConsPlusNormal"/>
        <w:ind w:firstLine="540"/>
        <w:jc w:val="both"/>
      </w:pPr>
      <w:r>
        <w:t>На территории не менее чем 20 муниципальных образований запланирован к реализации проект "Губернаторский молодежный трудовой отряд" с общим охватом 500 подростков.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>9. Информация об участии государственных корпораций,</w:t>
      </w:r>
    </w:p>
    <w:p w:rsidR="00154D8F" w:rsidRDefault="00154D8F" w:rsidP="00154D8F">
      <w:pPr>
        <w:pStyle w:val="ConsPlusNormal"/>
        <w:jc w:val="center"/>
      </w:pPr>
      <w:r>
        <w:t>акционерных обществ с государственным участием,</w:t>
      </w:r>
    </w:p>
    <w:p w:rsidR="00154D8F" w:rsidRDefault="00154D8F" w:rsidP="00154D8F">
      <w:pPr>
        <w:pStyle w:val="ConsPlusNormal"/>
        <w:jc w:val="center"/>
      </w:pPr>
      <w:r>
        <w:t>общественных, научных и иных организаций, а также</w:t>
      </w:r>
    </w:p>
    <w:p w:rsidR="00154D8F" w:rsidRDefault="00154D8F" w:rsidP="00154D8F">
      <w:pPr>
        <w:pStyle w:val="ConsPlusNormal"/>
        <w:jc w:val="center"/>
      </w:pPr>
      <w:r>
        <w:t>государственных внебюджетных фондов и физических лиц</w:t>
      </w:r>
    </w:p>
    <w:p w:rsidR="00154D8F" w:rsidRDefault="00154D8F" w:rsidP="00154D8F">
      <w:pPr>
        <w:pStyle w:val="ConsPlusNormal"/>
        <w:jc w:val="center"/>
      </w:pPr>
      <w:r>
        <w:t>в реализации Подпрограммы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ind w:firstLine="540"/>
        <w:jc w:val="both"/>
      </w:pPr>
      <w:r>
        <w:t>Государственные корпорации, акционерные общества с государственным участием, общественные, научные и иные организации, а также государственные внебюджетные фонды в реализации государственной программы не участвуют.</w:t>
      </w:r>
    </w:p>
    <w:p w:rsidR="00154D8F" w:rsidRDefault="00154D8F" w:rsidP="00154D8F">
      <w:pPr>
        <w:pStyle w:val="ConsPlusNormal"/>
        <w:jc w:val="both"/>
      </w:pPr>
    </w:p>
    <w:p w:rsidR="00154D8F" w:rsidRDefault="00154D8F" w:rsidP="00154D8F">
      <w:pPr>
        <w:pStyle w:val="ConsPlusNormal"/>
        <w:jc w:val="center"/>
        <w:outlineLvl w:val="2"/>
      </w:pPr>
      <w:r>
        <w:t>10. Информация о ресурсном обеспечении подпрограммы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jc w:val="center"/>
      </w:pPr>
      <w:proofErr w:type="gramStart"/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154D8F" w:rsidRDefault="00154D8F" w:rsidP="00154D8F">
      <w:pPr>
        <w:pStyle w:val="ConsPlusNormal"/>
        <w:jc w:val="center"/>
      </w:pPr>
      <w:r>
        <w:t>от 23.06.2015 N 227)</w:t>
      </w:r>
    </w:p>
    <w:p w:rsidR="00154D8F" w:rsidRDefault="00154D8F" w:rsidP="00154D8F">
      <w:pPr>
        <w:pStyle w:val="ConsPlusNormal"/>
        <w:jc w:val="center"/>
      </w:pP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Общий объем финансирования подпрограммы "Молодежь Ленинградской области" за счет средств областного бюджета составляет 438861,30 тыс. руб.: 2014 год - 119410,10 тыс. руб., 2015 год - 57118,00 тыс. руб., 2016 год - 48814,90 тыс. руб., 2017 год - 50582,80 тыс. руб., 2018 год - 54115,50 тыс. руб., 2019 год - 53270,00 тыс. руб., 2020 год - 55550,00 тыс. руб.;</w:t>
      </w:r>
      <w:proofErr w:type="gramEnd"/>
    </w:p>
    <w:p w:rsidR="00154D8F" w:rsidRDefault="00154D8F" w:rsidP="00154D8F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25.12.2015 N 506)</w:t>
      </w:r>
    </w:p>
    <w:p w:rsidR="00154D8F" w:rsidRDefault="00154D8F" w:rsidP="00154D8F">
      <w:pPr>
        <w:pStyle w:val="ConsPlusNormal"/>
        <w:ind w:firstLine="540"/>
        <w:jc w:val="both"/>
      </w:pPr>
      <w:proofErr w:type="gramStart"/>
      <w:r>
        <w:t>за счет средств местных бюджетов - 3213,00 тыс. руб.: 2016 год - 608,00 тыс. руб., 2017 год - 615,00 тыс. руб., 2018 год - 635,00 тыс. руб., 2019 год - 665,00 тыс. руб., 2020 год - 690,00 тыс. руб.</w:t>
      </w:r>
      <w:proofErr w:type="gramEnd"/>
    </w:p>
    <w:p w:rsidR="00154D8F" w:rsidRDefault="00154D8F" w:rsidP="00154D8F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25.12.2015 N 506)</w:t>
      </w:r>
    </w:p>
    <w:p w:rsidR="00154D8F" w:rsidRDefault="00154D8F" w:rsidP="00154D8F">
      <w:pPr>
        <w:pStyle w:val="ConsPlusNormal"/>
        <w:jc w:val="both"/>
      </w:pPr>
    </w:p>
    <w:p w:rsidR="00DC2B16" w:rsidRDefault="00154D8F"/>
    <w:sectPr w:rsidR="00DC2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8F"/>
    <w:rsid w:val="00145E47"/>
    <w:rsid w:val="00154D8F"/>
    <w:rsid w:val="007B5AA5"/>
    <w:rsid w:val="00BC3FD8"/>
    <w:rsid w:val="00DE614B"/>
    <w:rsid w:val="00E1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D8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D8F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57E63D6FF21FAF59AE22D958464F4415BE37EA93A81AC5840B855F119275E607BC4995158271C3KFgAN" TargetMode="External"/><Relationship Id="rId13" Type="http://schemas.openxmlformats.org/officeDocument/2006/relationships/hyperlink" Target="consultantplus://offline/ref=B257E63D6FF21FAF59AE22D958464F4415BE37EA93A81AC5840B855F119275E607BC4995158271C3KFgEN" TargetMode="External"/><Relationship Id="rId18" Type="http://schemas.openxmlformats.org/officeDocument/2006/relationships/hyperlink" Target="consultantplus://offline/ref=B257E63D6FF21FAF59AE22D958464F4411BE3AE39BAB47CF8C52895DK1g6N" TargetMode="External"/><Relationship Id="rId26" Type="http://schemas.openxmlformats.org/officeDocument/2006/relationships/hyperlink" Target="consultantplus://offline/ref=B257E63D6FF21FAF59AE22D958464F4415BE37EA93A81AC5840B855F119275E607BC4995158271C2KFg1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57E63D6FF21FAF59AE22D958464F4415BD38E191A41AC5840B855F119275E607BC4995158272C4KFgFN" TargetMode="External"/><Relationship Id="rId34" Type="http://schemas.openxmlformats.org/officeDocument/2006/relationships/hyperlink" Target="consultantplus://offline/ref=B257E63D6FF21FAF59AE22D958464F4415BE37EA93A81AC5840B855F119275E607BC4995158271C5KFg1N" TargetMode="External"/><Relationship Id="rId7" Type="http://schemas.openxmlformats.org/officeDocument/2006/relationships/hyperlink" Target="consultantplus://offline/ref=B257E63D6FF21FAF59AE22D958464F4415BE37EA93A81AC5840B855F119275E607BC4995158271C3KFgBN" TargetMode="External"/><Relationship Id="rId12" Type="http://schemas.openxmlformats.org/officeDocument/2006/relationships/hyperlink" Target="consultantplus://offline/ref=B257E63D6FF21FAF59AE22D958464F4415BE3EE59AA31AC5840B855F119275E607BC4995158273C2KFg0N" TargetMode="External"/><Relationship Id="rId17" Type="http://schemas.openxmlformats.org/officeDocument/2006/relationships/hyperlink" Target="consultantplus://offline/ref=B257E63D6FF21FAF59AE22D958464F4415BD38E796A71AC5840B855F119275E607BC4995158274C8KFgFN" TargetMode="External"/><Relationship Id="rId25" Type="http://schemas.openxmlformats.org/officeDocument/2006/relationships/hyperlink" Target="consultantplus://offline/ref=B257E63D6FF21FAF59AE22D958464F4415BE37EA93A81AC5840B855F119275E607BC4995158271C2KFgEN" TargetMode="External"/><Relationship Id="rId33" Type="http://schemas.openxmlformats.org/officeDocument/2006/relationships/hyperlink" Target="consultantplus://offline/ref=B257E63D6FF21FAF59AE22D958464F4415BE37EA93A81AC5840B855F119275E607BC4995158271C5KFg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257E63D6FF21FAF59AE22D958464F4415BD38E796A71AC5840B855F119275E607BC4995158274C8KFgCN" TargetMode="External"/><Relationship Id="rId20" Type="http://schemas.openxmlformats.org/officeDocument/2006/relationships/hyperlink" Target="consultantplus://offline/ref=B257E63D6FF21FAF59AE22D958464F4415BB39E497A61AC5840B855F119275E607BC4995158272C0KFgEN" TargetMode="External"/><Relationship Id="rId29" Type="http://schemas.openxmlformats.org/officeDocument/2006/relationships/hyperlink" Target="consultantplus://offline/ref=B257E63D6FF21FAF59AE22D958464F4415BE37EA93A81AC5840B855F119275E607BC4995158271C5KFg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57E63D6FF21FAF59AE22D958464F4415BD38E796A71AC5840B855F119275E607BC4995158274C4KFg9N" TargetMode="External"/><Relationship Id="rId11" Type="http://schemas.openxmlformats.org/officeDocument/2006/relationships/hyperlink" Target="consultantplus://offline/ref=B257E63D6FF21FAF59AE22D958464F4415BD38E796A71AC5840B855F119275E607BC4995158274C7KFg1N" TargetMode="External"/><Relationship Id="rId24" Type="http://schemas.openxmlformats.org/officeDocument/2006/relationships/hyperlink" Target="consultantplus://offline/ref=B257E63D6FF21FAF59AE22D958464F4415BD38E796A71AC5840B855F119275E607BC4995158275C1KFgCN" TargetMode="External"/><Relationship Id="rId32" Type="http://schemas.openxmlformats.org/officeDocument/2006/relationships/hyperlink" Target="consultantplus://offline/ref=B257E63D6FF21FAF59AE22D958464F4415BE3EE59AA31AC5840B855F119275E607BC4995158273C7KFgAN" TargetMode="External"/><Relationship Id="rId5" Type="http://schemas.openxmlformats.org/officeDocument/2006/relationships/hyperlink" Target="consultantplus://offline/ref=B257E63D6FF21FAF59AE22D958464F4415BD38E796A71AC5840B855F119275E607BC4995158274C5KFg1N" TargetMode="External"/><Relationship Id="rId15" Type="http://schemas.openxmlformats.org/officeDocument/2006/relationships/hyperlink" Target="consultantplus://offline/ref=B257E63D6FF21FAF59AE22D958464F4415BD38E796A71AC5840B855F119275E607BC4995158274C8KFgAN" TargetMode="External"/><Relationship Id="rId23" Type="http://schemas.openxmlformats.org/officeDocument/2006/relationships/hyperlink" Target="consultantplus://offline/ref=B257E63D6FF21FAF59AE22D958464F4415BD38E796A71AC5840B855F119275E607BC4995158274C8KFgEN" TargetMode="External"/><Relationship Id="rId28" Type="http://schemas.openxmlformats.org/officeDocument/2006/relationships/hyperlink" Target="consultantplus://offline/ref=B257E63D6FF21FAF59AE22D958464F4415BE37EA93A81AC5840B855F119275E607BC4995158271C5KFg9N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B257E63D6FF21FAF59AE22D958464F4415BE37EA93A81AC5840B855F119275E607BC4995158271C3KFgCN" TargetMode="External"/><Relationship Id="rId19" Type="http://schemas.openxmlformats.org/officeDocument/2006/relationships/hyperlink" Target="consultantplus://offline/ref=B257E63D6FF21FAF59AE22D958464F4415BD38E191A41AC5840B855F11K9g2N" TargetMode="External"/><Relationship Id="rId31" Type="http://schemas.openxmlformats.org/officeDocument/2006/relationships/hyperlink" Target="consultantplus://offline/ref=B257E63D6FF21FAF59AE22D958464F4415BD38E796A71AC5840B855F119275E607BC4995158275C8KFg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57E63D6FF21FAF59AE22D958464F4415BE37EA93A81AC5840B855F119275E607BC4995158271C3KFgDN" TargetMode="External"/><Relationship Id="rId14" Type="http://schemas.openxmlformats.org/officeDocument/2006/relationships/hyperlink" Target="consultantplus://offline/ref=B257E63D6FF21FAF59AE22D958464F4415BD38E796A71AC5840B855F119275E607BC4995158274C9KFg1N" TargetMode="External"/><Relationship Id="rId22" Type="http://schemas.openxmlformats.org/officeDocument/2006/relationships/hyperlink" Target="consultantplus://offline/ref=B257E63D6FF21FAF59AE22D958464F4415BE37EA93A81AC5840B855F119275E607BC4995158271C2KFgFN" TargetMode="External"/><Relationship Id="rId27" Type="http://schemas.openxmlformats.org/officeDocument/2006/relationships/hyperlink" Target="consultantplus://offline/ref=B257E63D6FF21FAF59AE22D958464F4415BE37EA93A81AC5840B855F119275E607BC4995158271C2KFg0N" TargetMode="External"/><Relationship Id="rId30" Type="http://schemas.openxmlformats.org/officeDocument/2006/relationships/hyperlink" Target="consultantplus://offline/ref=B257E63D6FF21FAF59AE22D958464F4415BE37EA93A81AC5840B855F119275E607BC4995158271C5KFg9N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2718</Words>
  <Characters>15497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Николаевна ГУСЕВА</dc:creator>
  <cp:lastModifiedBy>Эльвира Николаевна ГУСЕВА</cp:lastModifiedBy>
  <cp:revision>1</cp:revision>
  <dcterms:created xsi:type="dcterms:W3CDTF">2017-01-23T07:54:00Z</dcterms:created>
  <dcterms:modified xsi:type="dcterms:W3CDTF">2017-01-23T07:54:00Z</dcterms:modified>
</cp:coreProperties>
</file>